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10EF" w14:textId="77777777" w:rsidR="00696608" w:rsidRPr="00DC0D9F" w:rsidRDefault="00696608" w:rsidP="00696608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DC0D9F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а</w:t>
      </w:r>
      <w:r w:rsidRPr="00DC0D9F">
        <w:rPr>
          <w:b/>
          <w:sz w:val="28"/>
          <w:szCs w:val="28"/>
        </w:rPr>
        <w:t xml:space="preserve"> финансовой модели инвестиционного проекта, прилагаемого </w:t>
      </w:r>
    </w:p>
    <w:p w14:paraId="7E2C9F3A" w14:textId="77777777" w:rsidR="00696608" w:rsidRDefault="00696608" w:rsidP="00696608">
      <w:pPr>
        <w:spacing w:line="300" w:lineRule="auto"/>
        <w:jc w:val="center"/>
        <w:rPr>
          <w:b/>
          <w:sz w:val="28"/>
          <w:szCs w:val="28"/>
        </w:rPr>
      </w:pPr>
      <w:r w:rsidRPr="00DC0D9F">
        <w:rPr>
          <w:b/>
          <w:sz w:val="28"/>
          <w:szCs w:val="28"/>
        </w:rPr>
        <w:t>к заявке на заключение соглашения об осуществлении промышленно-производственной, технико-внедренческой деятельности в особой экономической зоне, созданной на территории «Псковского муниципального округа» Псковской области</w:t>
      </w:r>
    </w:p>
    <w:p w14:paraId="10E55E66" w14:textId="77777777" w:rsidR="00696608" w:rsidRDefault="00696608" w:rsidP="00696608">
      <w:pPr>
        <w:tabs>
          <w:tab w:val="left" w:pos="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5819"/>
        <w:gridCol w:w="1547"/>
        <w:gridCol w:w="1479"/>
      </w:tblGrid>
      <w:tr w:rsidR="00696608" w:rsidRPr="00DC0D9F" w14:paraId="366C1FA7" w14:textId="77777777" w:rsidTr="004175D5">
        <w:trPr>
          <w:trHeight w:val="916"/>
        </w:trPr>
        <w:tc>
          <w:tcPr>
            <w:tcW w:w="10421" w:type="dxa"/>
            <w:gridSpan w:val="4"/>
            <w:vAlign w:val="center"/>
          </w:tcPr>
          <w:p w14:paraId="4A6318F0" w14:textId="77777777" w:rsidR="00696608" w:rsidRPr="00DC0D9F" w:rsidRDefault="00696608" w:rsidP="004175D5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C0D9F">
              <w:rPr>
                <w:b/>
                <w:bCs/>
              </w:rPr>
              <w:t>Финансовая модель инвестиционного проекта</w:t>
            </w:r>
          </w:p>
          <w:p w14:paraId="56C09DA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696608" w:rsidRPr="00DC0D9F" w14:paraId="42BC887F" w14:textId="77777777" w:rsidTr="004175D5">
        <w:trPr>
          <w:trHeight w:val="916"/>
        </w:trPr>
        <w:tc>
          <w:tcPr>
            <w:tcW w:w="10421" w:type="dxa"/>
            <w:gridSpan w:val="4"/>
            <w:vAlign w:val="center"/>
          </w:tcPr>
          <w:p w14:paraId="6D070E4D" w14:textId="77777777" w:rsidR="00696608" w:rsidRPr="00DC0D9F" w:rsidRDefault="00696608" w:rsidP="0069660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ind w:left="0"/>
              <w:jc w:val="center"/>
              <w:outlineLvl w:val="0"/>
              <w:rPr>
                <w:lang w:eastAsia="ru-RU"/>
              </w:rPr>
            </w:pPr>
            <w:r w:rsidRPr="00DC0D9F">
              <w:rPr>
                <w:b/>
                <w:lang w:eastAsia="ru-RU"/>
              </w:rPr>
              <w:t>Исходные данные</w:t>
            </w:r>
          </w:p>
        </w:tc>
      </w:tr>
      <w:tr w:rsidR="00696608" w:rsidRPr="00DC0D9F" w14:paraId="29A7A60A" w14:textId="77777777" w:rsidTr="004175D5">
        <w:trPr>
          <w:trHeight w:val="689"/>
        </w:trPr>
        <w:tc>
          <w:tcPr>
            <w:tcW w:w="534" w:type="dxa"/>
            <w:vAlign w:val="center"/>
          </w:tcPr>
          <w:p w14:paraId="55CD58F6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14:paraId="41DAB3A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Макроэкономические данные</w:t>
            </w:r>
          </w:p>
        </w:tc>
        <w:tc>
          <w:tcPr>
            <w:tcW w:w="3367" w:type="dxa"/>
            <w:gridSpan w:val="2"/>
          </w:tcPr>
          <w:p w14:paraId="7E29EE4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68DA7D88" w14:textId="77777777" w:rsidTr="004175D5">
        <w:trPr>
          <w:trHeight w:val="701"/>
        </w:trPr>
        <w:tc>
          <w:tcPr>
            <w:tcW w:w="534" w:type="dxa"/>
            <w:vAlign w:val="center"/>
          </w:tcPr>
          <w:p w14:paraId="1F998B9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608D4EBD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Обязательные платежи</w:t>
            </w:r>
          </w:p>
        </w:tc>
        <w:tc>
          <w:tcPr>
            <w:tcW w:w="3367" w:type="dxa"/>
            <w:gridSpan w:val="2"/>
          </w:tcPr>
          <w:p w14:paraId="2812808E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66F1F9EF" w14:textId="77777777" w:rsidTr="004175D5">
        <w:trPr>
          <w:trHeight w:val="709"/>
        </w:trPr>
        <w:tc>
          <w:tcPr>
            <w:tcW w:w="534" w:type="dxa"/>
            <w:vAlign w:val="center"/>
          </w:tcPr>
          <w:p w14:paraId="210EC238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3</w:t>
            </w:r>
          </w:p>
        </w:tc>
        <w:tc>
          <w:tcPr>
            <w:tcW w:w="6520" w:type="dxa"/>
            <w:vAlign w:val="center"/>
          </w:tcPr>
          <w:p w14:paraId="4E3DA2D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Предпосылки по учетной политике (при наличии)</w:t>
            </w:r>
          </w:p>
        </w:tc>
        <w:tc>
          <w:tcPr>
            <w:tcW w:w="3367" w:type="dxa"/>
            <w:gridSpan w:val="2"/>
          </w:tcPr>
          <w:p w14:paraId="2D9C799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13D708A2" w14:textId="77777777" w:rsidTr="004175D5">
        <w:trPr>
          <w:trHeight w:val="690"/>
        </w:trPr>
        <w:tc>
          <w:tcPr>
            <w:tcW w:w="534" w:type="dxa"/>
            <w:vAlign w:val="center"/>
          </w:tcPr>
          <w:p w14:paraId="6C0E42B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4</w:t>
            </w:r>
          </w:p>
        </w:tc>
        <w:tc>
          <w:tcPr>
            <w:tcW w:w="6520" w:type="dxa"/>
            <w:vAlign w:val="center"/>
          </w:tcPr>
          <w:p w14:paraId="7A22D1E7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Особенности расчетов с контрагентами (при наличии)</w:t>
            </w:r>
          </w:p>
        </w:tc>
        <w:tc>
          <w:tcPr>
            <w:tcW w:w="3367" w:type="dxa"/>
            <w:gridSpan w:val="2"/>
          </w:tcPr>
          <w:p w14:paraId="24DB8055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71F3B98B" w14:textId="77777777" w:rsidTr="004175D5">
        <w:trPr>
          <w:trHeight w:val="85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B72FAD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5</w:t>
            </w:r>
          </w:p>
        </w:tc>
        <w:tc>
          <w:tcPr>
            <w:tcW w:w="6520" w:type="dxa"/>
            <w:vAlign w:val="center"/>
          </w:tcPr>
          <w:p w14:paraId="450D77E6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Ставка дисконтирования и метод ее расчета с обоснованием компонентов и ссылками на источники (при наличии)</w:t>
            </w:r>
          </w:p>
        </w:tc>
        <w:tc>
          <w:tcPr>
            <w:tcW w:w="3367" w:type="dxa"/>
            <w:gridSpan w:val="2"/>
          </w:tcPr>
          <w:p w14:paraId="30BD8713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0F1A94B3" w14:textId="77777777" w:rsidTr="004175D5">
        <w:trPr>
          <w:trHeight w:val="835"/>
        </w:trPr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FAF0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Иные пояснения, исходные данные и предпосылки к финансовой модели инвестиционного проекта (при наличии)</w:t>
            </w:r>
          </w:p>
        </w:tc>
        <w:tc>
          <w:tcPr>
            <w:tcW w:w="3367" w:type="dxa"/>
            <w:gridSpan w:val="2"/>
          </w:tcPr>
          <w:p w14:paraId="68A4A353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40B8238C" w14:textId="77777777" w:rsidTr="004175D5">
        <w:trPr>
          <w:trHeight w:val="838"/>
        </w:trPr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5FF0" w14:textId="77777777" w:rsidR="00696608" w:rsidRPr="00DC0D9F" w:rsidRDefault="00696608" w:rsidP="0069660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ind w:left="0"/>
              <w:jc w:val="center"/>
              <w:outlineLvl w:val="0"/>
              <w:rPr>
                <w:lang w:eastAsia="ru-RU"/>
              </w:rPr>
            </w:pPr>
            <w:r w:rsidRPr="00DC0D9F">
              <w:rPr>
                <w:b/>
                <w:lang w:eastAsia="ru-RU"/>
              </w:rPr>
              <w:t>Базовые прогнозные расчеты</w:t>
            </w:r>
          </w:p>
        </w:tc>
      </w:tr>
      <w:tr w:rsidR="00696608" w:rsidRPr="00DC0D9F" w14:paraId="0C85296B" w14:textId="77777777" w:rsidTr="004175D5">
        <w:trPr>
          <w:trHeight w:val="836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733895E3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1</w:t>
            </w:r>
          </w:p>
        </w:tc>
        <w:tc>
          <w:tcPr>
            <w:tcW w:w="6520" w:type="dxa"/>
            <w:vAlign w:val="center"/>
          </w:tcPr>
          <w:p w14:paraId="5CDB121C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Детализация основных направлений расходов (постоянных и переменных) в рамках реализации инвестиционного проекта</w:t>
            </w:r>
          </w:p>
        </w:tc>
        <w:tc>
          <w:tcPr>
            <w:tcW w:w="3367" w:type="dxa"/>
            <w:gridSpan w:val="2"/>
          </w:tcPr>
          <w:p w14:paraId="5B52A4B2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36504385" w14:textId="77777777" w:rsidTr="004175D5">
        <w:trPr>
          <w:trHeight w:val="846"/>
        </w:trPr>
        <w:tc>
          <w:tcPr>
            <w:tcW w:w="534" w:type="dxa"/>
            <w:vMerge/>
            <w:vAlign w:val="center"/>
          </w:tcPr>
          <w:p w14:paraId="6B929ECC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6520" w:type="dxa"/>
            <w:vAlign w:val="center"/>
          </w:tcPr>
          <w:p w14:paraId="72E2E966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в том числе прогноз объемов затрат, связанных с персоналом (с моделированием штатной структуры и численности)</w:t>
            </w:r>
          </w:p>
        </w:tc>
        <w:tc>
          <w:tcPr>
            <w:tcW w:w="3367" w:type="dxa"/>
            <w:gridSpan w:val="2"/>
          </w:tcPr>
          <w:p w14:paraId="0620E07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68CDC0B0" w14:textId="77777777" w:rsidTr="004175D5">
        <w:trPr>
          <w:trHeight w:val="1112"/>
        </w:trPr>
        <w:tc>
          <w:tcPr>
            <w:tcW w:w="534" w:type="dxa"/>
            <w:vMerge/>
            <w:vAlign w:val="center"/>
          </w:tcPr>
          <w:p w14:paraId="403B1CAF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6520" w:type="dxa"/>
            <w:vAlign w:val="center"/>
          </w:tcPr>
          <w:p w14:paraId="36C8377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в том числе прогноз объемов затрат, связанных с потреблением инфраструктурных мощностей (с указанием видов инфраструктуры)</w:t>
            </w:r>
          </w:p>
        </w:tc>
        <w:tc>
          <w:tcPr>
            <w:tcW w:w="3367" w:type="dxa"/>
            <w:gridSpan w:val="2"/>
          </w:tcPr>
          <w:p w14:paraId="3A04E4E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2C61C93A" w14:textId="77777777" w:rsidTr="004175D5">
        <w:trPr>
          <w:trHeight w:val="849"/>
        </w:trPr>
        <w:tc>
          <w:tcPr>
            <w:tcW w:w="534" w:type="dxa"/>
            <w:vMerge/>
            <w:vAlign w:val="center"/>
          </w:tcPr>
          <w:p w14:paraId="3866132E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6520" w:type="dxa"/>
            <w:vAlign w:val="center"/>
          </w:tcPr>
          <w:p w14:paraId="3EFA8D20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в том числе прогноз объемов затрат инвестиционного характера (с указанием направлений расходования средств)</w:t>
            </w:r>
          </w:p>
        </w:tc>
        <w:tc>
          <w:tcPr>
            <w:tcW w:w="3367" w:type="dxa"/>
            <w:gridSpan w:val="2"/>
          </w:tcPr>
          <w:p w14:paraId="2D04CE0E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1AA410AA" w14:textId="77777777" w:rsidTr="004175D5">
        <w:trPr>
          <w:trHeight w:val="994"/>
        </w:trPr>
        <w:tc>
          <w:tcPr>
            <w:tcW w:w="534" w:type="dxa"/>
            <w:vAlign w:val="center"/>
          </w:tcPr>
          <w:p w14:paraId="3E717D4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22DEEF85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Детализация источников финансирования инвестиционного проекта за счет собственных и внешних (заемных) средств (с указанием основных условий привлечения средств)</w:t>
            </w:r>
          </w:p>
        </w:tc>
        <w:tc>
          <w:tcPr>
            <w:tcW w:w="3367" w:type="dxa"/>
            <w:gridSpan w:val="2"/>
          </w:tcPr>
          <w:p w14:paraId="5D97910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47EAB0AB" w14:textId="77777777" w:rsidTr="004175D5">
        <w:trPr>
          <w:trHeight w:val="832"/>
        </w:trPr>
        <w:tc>
          <w:tcPr>
            <w:tcW w:w="534" w:type="dxa"/>
            <w:vMerge w:val="restart"/>
            <w:vAlign w:val="center"/>
          </w:tcPr>
          <w:p w14:paraId="2320100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14:paraId="20143803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Детализация основных направлений доходов (постоянных и переменных) в рамках реализации инвестиционного проекта</w:t>
            </w:r>
          </w:p>
        </w:tc>
        <w:tc>
          <w:tcPr>
            <w:tcW w:w="3367" w:type="dxa"/>
            <w:gridSpan w:val="2"/>
          </w:tcPr>
          <w:p w14:paraId="42B57F8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6D140306" w14:textId="77777777" w:rsidTr="004175D5">
        <w:trPr>
          <w:trHeight w:val="700"/>
        </w:trPr>
        <w:tc>
          <w:tcPr>
            <w:tcW w:w="534" w:type="dxa"/>
            <w:vMerge/>
            <w:vAlign w:val="center"/>
          </w:tcPr>
          <w:p w14:paraId="11885A4E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6520" w:type="dxa"/>
            <w:vAlign w:val="center"/>
          </w:tcPr>
          <w:p w14:paraId="36FD0F12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в том числе прогноз выручки (с указанием структуры и источников ее формирования)</w:t>
            </w:r>
          </w:p>
        </w:tc>
        <w:tc>
          <w:tcPr>
            <w:tcW w:w="3367" w:type="dxa"/>
            <w:gridSpan w:val="2"/>
          </w:tcPr>
          <w:p w14:paraId="2537E9E0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262E1674" w14:textId="77777777" w:rsidTr="004175D5">
        <w:trPr>
          <w:trHeight w:val="700"/>
        </w:trPr>
        <w:tc>
          <w:tcPr>
            <w:tcW w:w="10421" w:type="dxa"/>
            <w:gridSpan w:val="4"/>
            <w:vAlign w:val="center"/>
          </w:tcPr>
          <w:p w14:paraId="33C4F66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jc w:val="center"/>
              <w:outlineLvl w:val="0"/>
              <w:rPr>
                <w:b/>
                <w:lang w:eastAsia="ru-RU"/>
              </w:rPr>
            </w:pPr>
            <w:r w:rsidRPr="00DC0D9F">
              <w:rPr>
                <w:b/>
                <w:lang w:eastAsia="ru-RU"/>
              </w:rPr>
              <w:t>Иные базовые прогнозные расчеты (при наличии)</w:t>
            </w:r>
          </w:p>
        </w:tc>
      </w:tr>
      <w:tr w:rsidR="00696608" w:rsidRPr="00DC0D9F" w14:paraId="58946F70" w14:textId="77777777" w:rsidTr="004175D5">
        <w:trPr>
          <w:trHeight w:val="700"/>
        </w:trPr>
        <w:tc>
          <w:tcPr>
            <w:tcW w:w="10421" w:type="dxa"/>
            <w:gridSpan w:val="4"/>
            <w:vAlign w:val="center"/>
          </w:tcPr>
          <w:p w14:paraId="512020BA" w14:textId="77777777" w:rsidR="00696608" w:rsidRPr="00DC0D9F" w:rsidRDefault="00696608" w:rsidP="0069660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ind w:left="0"/>
              <w:jc w:val="center"/>
              <w:outlineLvl w:val="0"/>
              <w:rPr>
                <w:lang w:eastAsia="ru-RU"/>
              </w:rPr>
            </w:pPr>
            <w:r w:rsidRPr="00DC0D9F">
              <w:rPr>
                <w:b/>
                <w:lang w:eastAsia="ru-RU"/>
              </w:rPr>
              <w:t>Финансово-экономические показатели</w:t>
            </w:r>
          </w:p>
        </w:tc>
      </w:tr>
      <w:tr w:rsidR="00696608" w:rsidRPr="00DC0D9F" w14:paraId="77C1E2E7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5183FCC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1</w:t>
            </w:r>
          </w:p>
        </w:tc>
        <w:tc>
          <w:tcPr>
            <w:tcW w:w="6520" w:type="dxa"/>
            <w:vAlign w:val="center"/>
          </w:tcPr>
          <w:p w14:paraId="4F85E12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Прогнозный баланс</w:t>
            </w:r>
          </w:p>
        </w:tc>
        <w:tc>
          <w:tcPr>
            <w:tcW w:w="3367" w:type="dxa"/>
            <w:gridSpan w:val="2"/>
          </w:tcPr>
          <w:p w14:paraId="5E1C1E43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15F88006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642AADB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5456C0E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Прогнозный отчет о финансовых результатах</w:t>
            </w:r>
          </w:p>
        </w:tc>
        <w:tc>
          <w:tcPr>
            <w:tcW w:w="3367" w:type="dxa"/>
            <w:gridSpan w:val="2"/>
          </w:tcPr>
          <w:p w14:paraId="1F33816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0542D483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795428B6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3</w:t>
            </w:r>
          </w:p>
        </w:tc>
        <w:tc>
          <w:tcPr>
            <w:tcW w:w="6520" w:type="dxa"/>
            <w:vAlign w:val="center"/>
          </w:tcPr>
          <w:p w14:paraId="2CAAD9B6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Прогнозный отчет о движении денежных средств</w:t>
            </w:r>
          </w:p>
        </w:tc>
        <w:tc>
          <w:tcPr>
            <w:tcW w:w="3367" w:type="dxa"/>
            <w:gridSpan w:val="2"/>
          </w:tcPr>
          <w:p w14:paraId="316EDDE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66D5EDEE" w14:textId="77777777" w:rsidTr="004175D5">
        <w:trPr>
          <w:trHeight w:val="700"/>
        </w:trPr>
        <w:tc>
          <w:tcPr>
            <w:tcW w:w="10421" w:type="dxa"/>
            <w:gridSpan w:val="4"/>
            <w:vAlign w:val="center"/>
          </w:tcPr>
          <w:p w14:paraId="6FDF5BE9" w14:textId="77777777" w:rsidR="00696608" w:rsidRPr="00DC0D9F" w:rsidRDefault="00696608" w:rsidP="0069660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ind w:left="0"/>
              <w:jc w:val="center"/>
              <w:outlineLvl w:val="0"/>
              <w:rPr>
                <w:b/>
                <w:lang w:eastAsia="ru-RU"/>
              </w:rPr>
            </w:pPr>
            <w:r w:rsidRPr="00DC0D9F">
              <w:rPr>
                <w:b/>
                <w:lang w:eastAsia="ru-RU"/>
              </w:rPr>
              <w:t>Бюджетная эффективность</w:t>
            </w:r>
          </w:p>
        </w:tc>
      </w:tr>
      <w:tr w:rsidR="00696608" w:rsidRPr="00DC0D9F" w14:paraId="0E45D431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3815C01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1</w:t>
            </w:r>
          </w:p>
        </w:tc>
        <w:tc>
          <w:tcPr>
            <w:tcW w:w="6520" w:type="dxa"/>
            <w:vAlign w:val="center"/>
          </w:tcPr>
          <w:p w14:paraId="357628A3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Налоги (по уровням бюджетов бюджетной системы Российской Федерации и по видам платежей)</w:t>
            </w:r>
          </w:p>
        </w:tc>
        <w:tc>
          <w:tcPr>
            <w:tcW w:w="3367" w:type="dxa"/>
            <w:gridSpan w:val="2"/>
          </w:tcPr>
          <w:p w14:paraId="1101D49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272A440B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27EA10C7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val="en-US" w:eastAsia="ru-RU"/>
              </w:rPr>
            </w:pPr>
            <w:r w:rsidRPr="00DC0D9F">
              <w:rPr>
                <w:lang w:val="en-US"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599265E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Таможенные платежи</w:t>
            </w:r>
          </w:p>
        </w:tc>
        <w:tc>
          <w:tcPr>
            <w:tcW w:w="3367" w:type="dxa"/>
            <w:gridSpan w:val="2"/>
          </w:tcPr>
          <w:p w14:paraId="605B3C6E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3A93D9B1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1B812C0C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14:paraId="458377DD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Страховые взносы</w:t>
            </w:r>
          </w:p>
        </w:tc>
        <w:tc>
          <w:tcPr>
            <w:tcW w:w="3367" w:type="dxa"/>
            <w:gridSpan w:val="2"/>
          </w:tcPr>
          <w:p w14:paraId="5F9A394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2D2A37F6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55133C08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14:paraId="5DF2EBD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Налоговые льготы (по уровням бюджетов бюджетной системы Российской Федерации и по видам платежей)</w:t>
            </w:r>
          </w:p>
        </w:tc>
        <w:tc>
          <w:tcPr>
            <w:tcW w:w="3367" w:type="dxa"/>
            <w:gridSpan w:val="2"/>
          </w:tcPr>
          <w:p w14:paraId="4B4EE815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118BCA4A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47B1930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5</w:t>
            </w:r>
          </w:p>
        </w:tc>
        <w:tc>
          <w:tcPr>
            <w:tcW w:w="6520" w:type="dxa"/>
            <w:vAlign w:val="center"/>
          </w:tcPr>
          <w:p w14:paraId="0262A2B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Таможенные льготы</w:t>
            </w:r>
          </w:p>
        </w:tc>
        <w:tc>
          <w:tcPr>
            <w:tcW w:w="3367" w:type="dxa"/>
            <w:gridSpan w:val="2"/>
          </w:tcPr>
          <w:p w14:paraId="1D0986F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240D54FE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3ADC3C78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6</w:t>
            </w:r>
          </w:p>
        </w:tc>
        <w:tc>
          <w:tcPr>
            <w:tcW w:w="6520" w:type="dxa"/>
            <w:vAlign w:val="center"/>
          </w:tcPr>
          <w:p w14:paraId="2E089B4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Льготы по тарифам страховых взносов</w:t>
            </w:r>
          </w:p>
        </w:tc>
        <w:tc>
          <w:tcPr>
            <w:tcW w:w="3367" w:type="dxa"/>
            <w:gridSpan w:val="2"/>
          </w:tcPr>
          <w:p w14:paraId="1B3A3B9A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13DA6F6C" w14:textId="77777777" w:rsidTr="004175D5">
        <w:trPr>
          <w:trHeight w:val="816"/>
        </w:trPr>
        <w:tc>
          <w:tcPr>
            <w:tcW w:w="7054" w:type="dxa"/>
            <w:gridSpan w:val="2"/>
            <w:vAlign w:val="center"/>
          </w:tcPr>
          <w:p w14:paraId="2E826A25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Иные расчеты, характеризующие бюджетную эффективность</w:t>
            </w:r>
          </w:p>
          <w:p w14:paraId="5C2EC70F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инвестиционного проекта (при наличии)</w:t>
            </w:r>
          </w:p>
        </w:tc>
        <w:tc>
          <w:tcPr>
            <w:tcW w:w="3367" w:type="dxa"/>
            <w:gridSpan w:val="2"/>
          </w:tcPr>
          <w:p w14:paraId="09977E7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6C8357CF" w14:textId="77777777" w:rsidTr="004175D5">
        <w:trPr>
          <w:trHeight w:val="700"/>
        </w:trPr>
        <w:tc>
          <w:tcPr>
            <w:tcW w:w="10421" w:type="dxa"/>
            <w:gridSpan w:val="4"/>
            <w:vAlign w:val="center"/>
          </w:tcPr>
          <w:p w14:paraId="3DF148D1" w14:textId="77777777" w:rsidR="00696608" w:rsidRPr="00DC0D9F" w:rsidRDefault="00696608" w:rsidP="0069660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ind w:left="0"/>
              <w:jc w:val="center"/>
              <w:outlineLvl w:val="0"/>
              <w:rPr>
                <w:lang w:eastAsia="ru-RU"/>
              </w:rPr>
            </w:pPr>
            <w:r w:rsidRPr="00DC0D9F">
              <w:rPr>
                <w:b/>
                <w:lang w:eastAsia="ru-RU"/>
              </w:rPr>
              <w:t>Финансово-экономическая эффективность</w:t>
            </w:r>
          </w:p>
        </w:tc>
      </w:tr>
      <w:tr w:rsidR="00696608" w:rsidRPr="00DC0D9F" w14:paraId="3D3E8E7B" w14:textId="77777777" w:rsidTr="004175D5">
        <w:trPr>
          <w:trHeight w:val="439"/>
        </w:trPr>
        <w:tc>
          <w:tcPr>
            <w:tcW w:w="534" w:type="dxa"/>
            <w:vMerge w:val="restart"/>
            <w:vAlign w:val="center"/>
          </w:tcPr>
          <w:p w14:paraId="05CC90E5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1</w:t>
            </w:r>
          </w:p>
        </w:tc>
        <w:tc>
          <w:tcPr>
            <w:tcW w:w="6520" w:type="dxa"/>
            <w:vMerge w:val="restart"/>
            <w:vAlign w:val="center"/>
          </w:tcPr>
          <w:p w14:paraId="13DF5BDD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Внутренняя норма доходности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D3E960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b/>
                <w:lang w:eastAsia="ru-RU"/>
              </w:rPr>
            </w:pPr>
            <w:r w:rsidRPr="00DC0D9F">
              <w:rPr>
                <w:b/>
                <w:lang w:eastAsia="ru-RU"/>
              </w:rPr>
              <w:t>без ОЭЗ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ACFBA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b/>
                <w:lang w:eastAsia="ru-RU"/>
              </w:rPr>
            </w:pPr>
            <w:r w:rsidRPr="00DC0D9F">
              <w:rPr>
                <w:b/>
                <w:lang w:eastAsia="ru-RU"/>
              </w:rPr>
              <w:t>с ОЭЗ</w:t>
            </w:r>
          </w:p>
        </w:tc>
      </w:tr>
      <w:tr w:rsidR="00696608" w:rsidRPr="00DC0D9F" w14:paraId="6C9EBB8A" w14:textId="77777777" w:rsidTr="004175D5">
        <w:trPr>
          <w:trHeight w:val="533"/>
        </w:trPr>
        <w:tc>
          <w:tcPr>
            <w:tcW w:w="534" w:type="dxa"/>
            <w:vMerge/>
            <w:vAlign w:val="center"/>
          </w:tcPr>
          <w:p w14:paraId="23ECDE9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14:paraId="51246C3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14:paraId="7D589BF9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</w:tcPr>
          <w:p w14:paraId="4B64946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13705B4F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208D81D7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6FBACD60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Чистая приведенная стоимость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6C65C586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1757840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6856D868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586B8E9C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14:paraId="314AD74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Простой срок окупаемости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1F30B7A0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2B0134E4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793A389D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66B8F5DB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lastRenderedPageBreak/>
              <w:t>4</w:t>
            </w:r>
          </w:p>
        </w:tc>
        <w:tc>
          <w:tcPr>
            <w:tcW w:w="6520" w:type="dxa"/>
            <w:vAlign w:val="center"/>
          </w:tcPr>
          <w:p w14:paraId="60BCB7DC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Дисконтированный срок окупаемости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42E662F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1B6E803C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  <w:tr w:rsidR="00696608" w:rsidRPr="00DC0D9F" w14:paraId="4F2497A4" w14:textId="77777777" w:rsidTr="004175D5">
        <w:trPr>
          <w:trHeight w:val="700"/>
        </w:trPr>
        <w:tc>
          <w:tcPr>
            <w:tcW w:w="534" w:type="dxa"/>
            <w:vAlign w:val="center"/>
          </w:tcPr>
          <w:p w14:paraId="499ACF6D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5</w:t>
            </w:r>
          </w:p>
        </w:tc>
        <w:tc>
          <w:tcPr>
            <w:tcW w:w="6520" w:type="dxa"/>
            <w:vAlign w:val="center"/>
          </w:tcPr>
          <w:p w14:paraId="5314741E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outlineLvl w:val="0"/>
              <w:rPr>
                <w:lang w:eastAsia="ru-RU"/>
              </w:rPr>
            </w:pPr>
            <w:r w:rsidRPr="00DC0D9F">
              <w:rPr>
                <w:lang w:eastAsia="ru-RU"/>
              </w:rPr>
              <w:t>Индекс прибыльности инвестиций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52B795D6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67FC2501" w14:textId="77777777" w:rsidR="00696608" w:rsidRPr="00DC0D9F" w:rsidRDefault="00696608" w:rsidP="004175D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outlineLvl w:val="0"/>
              <w:rPr>
                <w:lang w:eastAsia="ru-RU"/>
              </w:rPr>
            </w:pPr>
          </w:p>
        </w:tc>
      </w:tr>
    </w:tbl>
    <w:p w14:paraId="49DA4738" w14:textId="77777777" w:rsidR="00696608" w:rsidRPr="00C90B31" w:rsidRDefault="00696608" w:rsidP="00696608">
      <w:pPr>
        <w:tabs>
          <w:tab w:val="left" w:pos="0"/>
        </w:tabs>
        <w:jc w:val="center"/>
        <w:rPr>
          <w:b/>
          <w:bCs/>
        </w:rPr>
      </w:pPr>
    </w:p>
    <w:p w14:paraId="55EB049C" w14:textId="77777777" w:rsidR="00696608" w:rsidRDefault="00696608" w:rsidP="00696608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1CC9A3" w14:textId="77777777" w:rsidR="00696608" w:rsidRDefault="00696608" w:rsidP="00696608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703A72" w14:textId="77777777" w:rsidR="00696608" w:rsidRDefault="00696608" w:rsidP="00696608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7F0527" w14:textId="77777777" w:rsidR="00696608" w:rsidRDefault="00696608" w:rsidP="00696608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F5658F" w14:textId="77777777" w:rsidR="00696608" w:rsidRDefault="00696608" w:rsidP="00696608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460839" w14:textId="77777777" w:rsidR="00696608" w:rsidRDefault="00696608" w:rsidP="00696608">
      <w:pPr>
        <w:pStyle w:val="ConsPlusTitle"/>
        <w:spacing w:line="3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B65469" w14:textId="77777777" w:rsidR="00696608" w:rsidRPr="00174C6D" w:rsidRDefault="00696608" w:rsidP="00696608">
      <w:pPr>
        <w:jc w:val="center"/>
        <w:rPr>
          <w:b/>
          <w:sz w:val="28"/>
        </w:rPr>
      </w:pPr>
    </w:p>
    <w:p w14:paraId="29D13AF4" w14:textId="77777777" w:rsidR="00696608" w:rsidRPr="00EF6368" w:rsidRDefault="00696608" w:rsidP="00696608">
      <w:pPr>
        <w:jc w:val="center"/>
        <w:rPr>
          <w:sz w:val="28"/>
        </w:rPr>
      </w:pPr>
    </w:p>
    <w:p w14:paraId="5ACF7164" w14:textId="77777777" w:rsidR="00696608" w:rsidRDefault="00696608" w:rsidP="00696608">
      <w:pPr>
        <w:jc w:val="center"/>
        <w:rPr>
          <w:sz w:val="28"/>
        </w:rPr>
      </w:pPr>
    </w:p>
    <w:p w14:paraId="633DDF7E" w14:textId="77777777" w:rsidR="00696608" w:rsidRDefault="00696608" w:rsidP="00696608">
      <w:pPr>
        <w:jc w:val="center"/>
        <w:rPr>
          <w:sz w:val="28"/>
        </w:rPr>
      </w:pPr>
    </w:p>
    <w:p w14:paraId="57B3E0A1" w14:textId="77777777" w:rsidR="00696608" w:rsidRDefault="00696608" w:rsidP="00696608">
      <w:pPr>
        <w:jc w:val="center"/>
        <w:rPr>
          <w:sz w:val="28"/>
        </w:rPr>
      </w:pPr>
    </w:p>
    <w:p w14:paraId="2ABD63FF" w14:textId="77777777" w:rsidR="00696608" w:rsidRDefault="00696608" w:rsidP="00696608">
      <w:pPr>
        <w:jc w:val="center"/>
        <w:rPr>
          <w:sz w:val="28"/>
        </w:rPr>
      </w:pPr>
    </w:p>
    <w:p w14:paraId="3EB1E981" w14:textId="77777777" w:rsidR="00696608" w:rsidRDefault="00696608" w:rsidP="00696608">
      <w:pPr>
        <w:jc w:val="center"/>
        <w:rPr>
          <w:sz w:val="28"/>
        </w:rPr>
      </w:pPr>
    </w:p>
    <w:p w14:paraId="4A57D8B9" w14:textId="77777777" w:rsidR="00696608" w:rsidRDefault="00696608" w:rsidP="00696608">
      <w:pPr>
        <w:jc w:val="center"/>
        <w:rPr>
          <w:sz w:val="28"/>
        </w:rPr>
      </w:pPr>
    </w:p>
    <w:p w14:paraId="27220966" w14:textId="77777777" w:rsidR="00696608" w:rsidRDefault="00696608" w:rsidP="00696608">
      <w:pPr>
        <w:jc w:val="center"/>
        <w:rPr>
          <w:sz w:val="28"/>
        </w:rPr>
      </w:pPr>
    </w:p>
    <w:p w14:paraId="5FCF5FE0" w14:textId="77777777" w:rsidR="00696608" w:rsidRDefault="00696608" w:rsidP="00696608">
      <w:pPr>
        <w:jc w:val="center"/>
        <w:rPr>
          <w:sz w:val="28"/>
        </w:rPr>
      </w:pPr>
    </w:p>
    <w:p w14:paraId="319DFBB4" w14:textId="77777777" w:rsidR="00696608" w:rsidRDefault="00696608" w:rsidP="00696608">
      <w:pPr>
        <w:jc w:val="center"/>
        <w:rPr>
          <w:sz w:val="28"/>
        </w:rPr>
      </w:pPr>
    </w:p>
    <w:p w14:paraId="14CDEE60" w14:textId="77777777" w:rsidR="00696608" w:rsidRDefault="00696608" w:rsidP="00696608">
      <w:pPr>
        <w:jc w:val="center"/>
        <w:rPr>
          <w:sz w:val="28"/>
        </w:rPr>
      </w:pPr>
    </w:p>
    <w:p w14:paraId="69BE51F7" w14:textId="77777777" w:rsidR="009455B5" w:rsidRDefault="009455B5"/>
    <w:sectPr w:rsidR="0094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4132"/>
    <w:multiLevelType w:val="hybridMultilevel"/>
    <w:tmpl w:val="0ACA2D66"/>
    <w:lvl w:ilvl="0" w:tplc="1A768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0D"/>
    <w:rsid w:val="00176A9D"/>
    <w:rsid w:val="005A5E0D"/>
    <w:rsid w:val="00696608"/>
    <w:rsid w:val="006F17D6"/>
    <w:rsid w:val="009455B5"/>
    <w:rsid w:val="00B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4F1C"/>
  <w15:chartTrackingRefBased/>
  <w15:docId w15:val="{7717EA1C-7F9B-4BBD-BEC9-84F69832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5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5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5E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5E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E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5E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5E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5E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5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5E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5E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5E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5E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5E0D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696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Starkova</dc:creator>
  <cp:keywords/>
  <dc:description/>
  <cp:lastModifiedBy>Sofia Starkova</cp:lastModifiedBy>
  <cp:revision>2</cp:revision>
  <dcterms:created xsi:type="dcterms:W3CDTF">2025-09-03T12:03:00Z</dcterms:created>
  <dcterms:modified xsi:type="dcterms:W3CDTF">2025-09-03T12:03:00Z</dcterms:modified>
</cp:coreProperties>
</file>